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ind w:firstLine="1320" w:firstLineChars="300"/>
        <w:rPr>
          <w:rFonts w:hint="eastAsia" w:ascii="黑体" w:eastAsia="黑体"/>
          <w:sz w:val="44"/>
          <w:szCs w:val="44"/>
          <w:lang w:eastAsia="zh-CN"/>
        </w:rPr>
      </w:pPr>
      <w:r>
        <w:rPr>
          <w:rFonts w:hint="eastAsia" w:ascii="黑体" w:eastAsia="黑体"/>
          <w:sz w:val="44"/>
          <w:szCs w:val="44"/>
          <w:lang w:eastAsia="zh-CN"/>
        </w:rPr>
        <w:t>专项</w:t>
      </w:r>
      <w:r>
        <w:rPr>
          <w:rFonts w:hint="eastAsia" w:ascii="黑体" w:eastAsia="黑体"/>
          <w:sz w:val="44"/>
          <w:szCs w:val="44"/>
        </w:rPr>
        <w:t>资金绩效评价报告</w:t>
      </w:r>
      <w:r>
        <w:rPr>
          <w:rFonts w:hint="eastAsia" w:ascii="黑体" w:eastAsia="黑体"/>
          <w:sz w:val="44"/>
          <w:szCs w:val="44"/>
          <w:lang w:eastAsia="zh-CN"/>
        </w:rPr>
        <w:t>（项目</w:t>
      </w:r>
      <w:r>
        <w:rPr>
          <w:rFonts w:hint="eastAsia" w:ascii="黑体" w:eastAsia="黑体"/>
          <w:sz w:val="44"/>
          <w:szCs w:val="44"/>
          <w:lang w:val="en-US" w:eastAsia="zh-CN"/>
        </w:rPr>
        <w:t>11</w:t>
      </w:r>
      <w:r>
        <w:rPr>
          <w:rFonts w:hint="eastAsia" w:ascii="黑体" w:eastAsia="黑体"/>
          <w:sz w:val="44"/>
          <w:szCs w:val="44"/>
          <w:lang w:eastAsia="zh-CN"/>
        </w:rPr>
        <w:t>）</w:t>
      </w:r>
    </w:p>
    <w:p>
      <w:pPr>
        <w:pStyle w:val="8"/>
        <w:spacing w:line="360" w:lineRule="auto"/>
        <w:ind w:firstLine="1320" w:firstLineChars="300"/>
        <w:rPr>
          <w:rFonts w:hint="eastAsia" w:ascii="黑体" w:eastAsia="黑体"/>
          <w:sz w:val="44"/>
          <w:szCs w:val="44"/>
        </w:rPr>
      </w:pP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一、项目基本情况</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（一）项目概况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1、项目单位基本情况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芷江侗族自治县城市管理和综合执法局于2019年3月31日挂牌成立，为正科级行政单位。内设办公室、政策法规和行政审批股、人事股、公用事业管理股、市政工程管理股五个股室；下辖副科级城市管理综合行政执法大队和城市管理事务中心两个二级机构。负责在城市管理领域内开展相对集中行政处罚权工作，具体负责行使市容环境卫生、城市规划、园林绿化、市政、环境保护、公共管理、工商、河道、公安交通等方面的全部或部分行政处罚权。目前，县城管系统总编制数169个，实有正式在编在岗人员147人（行政5人，城管管理行政大队77人，城市管理事务中心59人，桥管所6人），临聘人员48人（协管32人，消防16人）。</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w:t>
      </w:r>
      <w:r>
        <w:rPr>
          <w:rFonts w:hint="eastAsia" w:ascii="仿宋" w:hAnsi="仿宋" w:eastAsia="仿宋" w:cs="仿宋"/>
          <w:i w:val="0"/>
          <w:iCs w:val="0"/>
          <w:caps w:val="0"/>
          <w:color w:val="333333"/>
          <w:spacing w:val="0"/>
          <w:kern w:val="0"/>
          <w:sz w:val="28"/>
          <w:szCs w:val="28"/>
          <w:lang w:val="zh-CN" w:eastAsia="zh-CN" w:bidi="ar"/>
        </w:rPr>
        <w:t>项目的实施依据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zh-CN" w:eastAsia="zh-CN" w:bidi="ar"/>
        </w:rPr>
        <w:t>芷江侗族自治城市生活圾卫生填埋场位于晓坪乡晓坪村界田湾组，距县城9公里，规划总占地面积95亩（实际占地43.6亩），容积95万立方米，日处理生活垃圾180吨。</w:t>
      </w:r>
      <w:r>
        <w:rPr>
          <w:rFonts w:hint="eastAsia" w:ascii="仿宋" w:hAnsi="仿宋" w:eastAsia="仿宋" w:cs="仿宋"/>
          <w:i w:val="0"/>
          <w:iCs w:val="0"/>
          <w:caps w:val="0"/>
          <w:color w:val="333333"/>
          <w:spacing w:val="0"/>
          <w:kern w:val="0"/>
          <w:sz w:val="28"/>
          <w:szCs w:val="28"/>
          <w:lang w:val="en-US" w:eastAsia="zh-CN" w:bidi="ar"/>
        </w:rPr>
        <w:t>根据2016年（第69次）《芷江侗族自治县人民政府常务会议纪要》精神的要求，对县城垃圾处理运营成本进行测算后，同意由财政解决垃圾场覆盖费用15万、垃圾场所属设备的维护保养费用15万。</w:t>
      </w:r>
    </w:p>
    <w:p>
      <w:pPr>
        <w:pStyle w:val="8"/>
        <w:numPr>
          <w:ilvl w:val="0"/>
          <w:numId w:val="1"/>
        </w:numPr>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项目基本性质、用途和主要内容、涉及范围</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垃圾覆盖和设施维修项目的基本性质为其他类项目，主要</w:t>
      </w:r>
      <w:r>
        <w:rPr>
          <w:rFonts w:hint="eastAsia" w:ascii="仿宋" w:hAnsi="仿宋" w:eastAsia="仿宋" w:cs="仿宋"/>
          <w:i w:val="0"/>
          <w:iCs w:val="0"/>
          <w:caps w:val="0"/>
          <w:color w:val="333333"/>
          <w:spacing w:val="0"/>
          <w:kern w:val="0"/>
          <w:sz w:val="28"/>
          <w:szCs w:val="28"/>
          <w:lang w:val="zh-CN" w:eastAsia="zh-CN" w:bidi="ar"/>
        </w:rPr>
        <w:t>用于</w:t>
      </w:r>
      <w:r>
        <w:rPr>
          <w:rFonts w:hint="eastAsia" w:ascii="仿宋" w:hAnsi="仿宋" w:eastAsia="仿宋" w:cs="仿宋"/>
          <w:i w:val="0"/>
          <w:iCs w:val="0"/>
          <w:caps w:val="0"/>
          <w:color w:val="333333"/>
          <w:spacing w:val="0"/>
          <w:kern w:val="0"/>
          <w:sz w:val="28"/>
          <w:szCs w:val="28"/>
          <w:lang w:val="en-US" w:eastAsia="zh-CN" w:bidi="ar"/>
        </w:rPr>
        <w:t>生活垃圾填埋场常态化运营管理，填埋区暴露垃圾覆盖及附属气体导排是重点，为确保垃圾产生的废弃不影响生态环境及周边居民，开展垃圾覆盖及设施维修工作。采用“厌氧填埋” 处理工艺，对填埋区暴露生活垃圾进行堆体整形覆盖及附属导气导排等。</w:t>
      </w:r>
    </w:p>
    <w:p>
      <w:pPr>
        <w:pStyle w:val="9"/>
        <w:spacing w:line="240" w:lineRule="auto"/>
        <w:ind w:firstLine="643" w:firstLineChars="200"/>
        <w:rPr>
          <w:rFonts w:hint="eastAsia" w:ascii="楷体" w:eastAsia="楷体"/>
          <w:b/>
          <w:sz w:val="32"/>
          <w:szCs w:val="32"/>
        </w:rPr>
      </w:pPr>
      <w:r>
        <w:rPr>
          <w:rFonts w:hint="eastAsia" w:ascii="楷体" w:eastAsia="楷体"/>
          <w:b/>
          <w:sz w:val="32"/>
          <w:szCs w:val="32"/>
        </w:rPr>
        <w:t>（二）项目绩效目标</w:t>
      </w:r>
    </w:p>
    <w:p>
      <w:pPr>
        <w:pStyle w:val="8"/>
        <w:spacing w:line="240" w:lineRule="auto"/>
        <w:ind w:firstLine="64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、项目绩效总目标和阶段性目标</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垃圾覆盖、填埋处理效果明显无外露。</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2、预期主要的生态、社会和经济效益</w:t>
      </w:r>
    </w:p>
    <w:p>
      <w:pPr>
        <w:pStyle w:val="8"/>
        <w:spacing w:line="240" w:lineRule="auto"/>
        <w:ind w:firstLine="560" w:firstLineChars="200"/>
        <w:jc w:val="both"/>
        <w:rPr>
          <w:rFonts w:hint="default" w:ascii="仿宋" w:eastAsia="仿宋"/>
          <w:sz w:val="32"/>
          <w:szCs w:val="32"/>
          <w:lang w:val="en-US"/>
        </w:rPr>
      </w:pPr>
      <w:r>
        <w:rPr>
          <w:rFonts w:hint="eastAsia" w:ascii="仿宋" w:hAnsi="仿宋" w:eastAsia="仿宋" w:cs="仿宋"/>
          <w:i w:val="0"/>
          <w:iCs w:val="0"/>
          <w:caps w:val="0"/>
          <w:color w:val="333333"/>
          <w:spacing w:val="0"/>
          <w:kern w:val="0"/>
          <w:sz w:val="28"/>
          <w:szCs w:val="28"/>
          <w:lang w:val="en-US" w:eastAsia="zh-CN" w:bidi="ar"/>
        </w:rPr>
        <w:t>垃圾覆盖和设施维修项目的生态效益指标和经济效益不适用绩效评价；其预期的社会效益是使垃圾场周边生态环境达到良好，并有所提升。</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二、绩效评价工作情况</w:t>
      </w:r>
    </w:p>
    <w:p>
      <w:p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为使垃圾覆盖和设施维修项目资金能做到专款专用，并能合理运用资金，杜绝挪用、挤占、截留项目资金，本单位监督部门全程项目管理工作，使项目管理工作更具有合理性、规范性、效益性、真实性。相关部门建立了相应的合法、合规、完整的业务管理制度，项目资金管理办法，为了保障资金的安全、规范运行成立了纪检监察小组，明确相关职责，各部门根据工作业务流程进行协同推进项目管理工作，圆满完成了项目绩效工作。</w:t>
      </w:r>
    </w:p>
    <w:p>
      <w:pPr>
        <w:pStyle w:val="8"/>
        <w:spacing w:line="240" w:lineRule="auto"/>
        <w:ind w:firstLine="643" w:firstLineChars="200"/>
        <w:rPr>
          <w:rFonts w:hint="eastAsia" w:ascii="楷体" w:hAnsi="楷体" w:eastAsia="楷体" w:cs="楷体"/>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三、绩效评价指标分析情况</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（一）项目资金情况分析</w:t>
      </w:r>
    </w:p>
    <w:p>
      <w:pPr>
        <w:pStyle w:val="8"/>
        <w:spacing w:line="240" w:lineRule="auto"/>
        <w:ind w:firstLine="64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、项目资金到位情况分析</w:t>
      </w:r>
    </w:p>
    <w:p>
      <w:pPr>
        <w:pStyle w:val="8"/>
        <w:spacing w:line="24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2021年财政专项垃圾覆盖和设施维修项目资金到位30万元，全部为财政年初预算项目资金。</w:t>
      </w:r>
    </w:p>
    <w:p>
      <w:pPr>
        <w:pStyle w:val="8"/>
        <w:numPr>
          <w:ilvl w:val="0"/>
          <w:numId w:val="2"/>
        </w:numPr>
        <w:spacing w:line="24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项目资金使用情况分析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自年初预算项目资金下达以来，所有资金都已经全部及时安排到位，并按项目要求和进度全部落实到位。截止到2021年末实际总支出为66.13万元，超预算支出36.31万元。超预算支出的主要原因是：与往年相比，今年的垃圾覆盖在原有堆体整形覆盖及附属导气导排之外还采用了膜覆盖处理，膜覆盖最低标准为一季度一次，且膜覆盖成本较高，直接导致项目支出增加。</w:t>
      </w:r>
    </w:p>
    <w:p>
      <w:pPr>
        <w:pStyle w:val="8"/>
        <w:numPr>
          <w:ilvl w:val="0"/>
          <w:numId w:val="2"/>
        </w:numPr>
        <w:spacing w:line="24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项目资金管理情况分析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严格按照相关业务管理制度，规范各项经费的开支。资金使用规范，符合国家财政法规和财务管理以及有关专项资金管理办法的规定；资金的拨付有完整的审批程序和手续；不存在截留、挤占、挪用、虚列支出等情况。保障会计核算准确、财务资料完整。</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（二）项目实施情况分析</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经县领导批准将垃圾覆盖和设施维修项目资金纳入本年度财政预算，县财政预算部门一次性下达全年度项目指标，项目经费需</w:t>
      </w:r>
      <w:r>
        <w:rPr>
          <w:rFonts w:hint="eastAsia" w:ascii="仿宋" w:hAnsi="仿宋" w:eastAsia="仿宋" w:cs="仿宋"/>
          <w:i w:val="0"/>
          <w:iCs w:val="0"/>
          <w:caps w:val="0"/>
          <w:color w:val="333333"/>
          <w:spacing w:val="0"/>
          <w:kern w:val="0"/>
          <w:sz w:val="28"/>
          <w:szCs w:val="28"/>
          <w:lang w:val="zh-CN" w:eastAsia="zh-CN" w:bidi="ar"/>
        </w:rPr>
        <w:t>经县城市生活垃圾处理场负责人核实后进行支付，</w:t>
      </w:r>
      <w:r>
        <w:rPr>
          <w:rFonts w:hint="eastAsia" w:ascii="仿宋" w:hAnsi="仿宋" w:eastAsia="仿宋" w:cs="仿宋"/>
          <w:i w:val="0"/>
          <w:iCs w:val="0"/>
          <w:caps w:val="0"/>
          <w:color w:val="333333"/>
          <w:spacing w:val="0"/>
          <w:kern w:val="0"/>
          <w:sz w:val="28"/>
          <w:szCs w:val="28"/>
          <w:lang w:val="en-US" w:eastAsia="zh-CN" w:bidi="ar"/>
        </w:rPr>
        <w:t>单位资金管理部门根据需要分期分批申报，专项小组审批，单位成立的纪检监察小组对资金的使用进行审核和监督资金的运行全过程。为保证资金使用规范，按要求制定相应的监控机制、组织人员对国家法律法规进行学习，掌握政策严格按照要求开展工作。</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 xml:space="preserve">（三）项目绩效情况分析 </w:t>
      </w:r>
    </w:p>
    <w:p>
      <w:pPr>
        <w:pStyle w:val="8"/>
        <w:spacing w:line="240" w:lineRule="auto"/>
        <w:ind w:firstLine="643"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1、项目经济性分析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垃圾覆盖和设施维修项目年初预算30万元，实际支出66.13万元，超预算支出36.13万元。超预算支出的主要原因是：与往年相比，今年的垃圾覆盖在原有堆体整形覆盖及附属导气导排之外还采用了膜覆盖处理，膜覆盖最低标准为一季度一次，且膜覆盖成本较高，直接导致项目支出增加。</w:t>
      </w:r>
    </w:p>
    <w:p>
      <w:pPr>
        <w:pStyle w:val="8"/>
        <w:numPr>
          <w:ilvl w:val="0"/>
          <w:numId w:val="0"/>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2、</w:t>
      </w:r>
      <w:r>
        <w:rPr>
          <w:rFonts w:hint="eastAsia" w:ascii="楷体" w:hAnsi="楷体" w:eastAsia="楷体" w:cs="楷体"/>
          <w:b/>
          <w:bCs/>
          <w:i w:val="0"/>
          <w:iCs w:val="0"/>
          <w:caps w:val="0"/>
          <w:color w:val="333333"/>
          <w:spacing w:val="0"/>
          <w:kern w:val="0"/>
          <w:sz w:val="32"/>
          <w:szCs w:val="32"/>
          <w:lang w:val="zh-CN" w:eastAsia="zh-CN" w:bidi="ar"/>
        </w:rPr>
        <w:t>项目的效率性分析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（1）项目的实施进度</w:t>
      </w:r>
    </w:p>
    <w:p>
      <w:pPr>
        <w:pStyle w:val="9"/>
        <w:spacing w:line="240" w:lineRule="auto"/>
        <w:ind w:firstLine="840" w:firstLineChars="300"/>
        <w:rPr>
          <w:rFonts w:hint="eastAsia" w:ascii="仿宋" w:hAnsi="仿宋" w:eastAsia="仿宋" w:cs="仿宋"/>
          <w:i w:val="0"/>
          <w:iCs w:val="0"/>
          <w:caps w:val="0"/>
          <w:color w:val="333333"/>
          <w:spacing w:val="0"/>
          <w:kern w:val="0"/>
          <w:sz w:val="28"/>
          <w:szCs w:val="28"/>
          <w:lang w:val="en-US" w:eastAsia="zh-CN" w:bidi="ar"/>
        </w:rPr>
      </w:pPr>
      <w:bookmarkStart w:id="0" w:name="_GoBack"/>
      <w:bookmarkEnd w:id="0"/>
      <w:r>
        <w:rPr>
          <w:rFonts w:hint="eastAsia" w:ascii="仿宋" w:hAnsi="仿宋" w:eastAsia="仿宋" w:cs="仿宋"/>
          <w:i w:val="0"/>
          <w:iCs w:val="0"/>
          <w:caps w:val="0"/>
          <w:color w:val="333333"/>
          <w:spacing w:val="0"/>
          <w:kern w:val="0"/>
          <w:sz w:val="28"/>
          <w:szCs w:val="28"/>
          <w:lang w:val="en-US" w:eastAsia="zh-CN" w:bidi="ar"/>
        </w:rPr>
        <w:t>垃圾填埋场2021年处理生活垃圾6.234万吨，处理率达到100%。</w:t>
      </w:r>
    </w:p>
    <w:p>
      <w:pPr>
        <w:pStyle w:val="9"/>
        <w:numPr>
          <w:ilvl w:val="0"/>
          <w:numId w:val="3"/>
        </w:num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项目完成质量</w:t>
      </w:r>
    </w:p>
    <w:p>
      <w:pPr>
        <w:pStyle w:val="9"/>
        <w:spacing w:line="240" w:lineRule="auto"/>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 xml:space="preserve">     垃圾填埋场2021年自使用膜（HDPE）覆盖垃圾后，垃圾产生废弃经环保部门监督检测、自行监测均达到国家排放标准。</w:t>
      </w:r>
    </w:p>
    <w:p>
      <w:pPr>
        <w:widowControl/>
        <w:spacing w:line="240" w:lineRule="auto"/>
        <w:ind w:firstLine="643" w:firstLineChars="200"/>
        <w:jc w:val="left"/>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3、</w:t>
      </w:r>
      <w:r>
        <w:rPr>
          <w:rFonts w:hint="eastAsia" w:ascii="楷体" w:hAnsi="楷体" w:eastAsia="楷体" w:cs="楷体"/>
          <w:b/>
          <w:bCs/>
          <w:i w:val="0"/>
          <w:iCs w:val="0"/>
          <w:caps w:val="0"/>
          <w:color w:val="333333"/>
          <w:spacing w:val="0"/>
          <w:kern w:val="0"/>
          <w:sz w:val="32"/>
          <w:szCs w:val="32"/>
          <w:lang w:val="zh-CN" w:eastAsia="zh-CN" w:bidi="ar"/>
        </w:rPr>
        <w:t>项目的效益性分析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预期目标完成程度：建立了相应的合法、合规、完整的业务管理制度，项目资金管理办法，为了保障资金的安全、规范运行成立了纪检监察小组，明确相关职责，各部门根据工作业务流程进行协同推进项目管理工作，圆满完成了项目绩效工作。</w:t>
      </w:r>
    </w:p>
    <w:p>
      <w:pPr>
        <w:pStyle w:val="9"/>
        <w:numPr>
          <w:ilvl w:val="0"/>
          <w:numId w:val="0"/>
        </w:numPr>
        <w:spacing w:line="240" w:lineRule="auto"/>
        <w:ind w:leftChars="200"/>
        <w:rPr>
          <w:rFonts w:hint="eastAsia" w:ascii="仿宋" w:eastAsia="仿宋"/>
          <w:sz w:val="32"/>
          <w:szCs w:val="32"/>
        </w:rPr>
      </w:pPr>
      <w:r>
        <w:rPr>
          <w:rFonts w:hint="eastAsia" w:ascii="仿宋" w:hAnsi="仿宋" w:eastAsia="仿宋" w:cs="仿宋"/>
          <w:i w:val="0"/>
          <w:iCs w:val="0"/>
          <w:caps w:val="0"/>
          <w:color w:val="333333"/>
          <w:spacing w:val="0"/>
          <w:kern w:val="0"/>
          <w:sz w:val="28"/>
          <w:szCs w:val="28"/>
          <w:lang w:val="en-US" w:eastAsia="zh-CN" w:bidi="ar"/>
        </w:rPr>
        <w:t>（2）项目实施对经济和社会的影响：确保生活垃圾填埋场正常运营，不发生环境污染事件，保障填埋场周边生态环境安全，提高周边人民</w:t>
      </w:r>
      <w:r>
        <w:rPr>
          <w:rFonts w:hint="eastAsia" w:ascii="仿宋" w:hAnsi="仿宋" w:eastAsia="仿宋"/>
          <w:sz w:val="32"/>
          <w:szCs w:val="32"/>
        </w:rPr>
        <w:t>群众的满意度。</w:t>
      </w:r>
    </w:p>
    <w:p>
      <w:pPr>
        <w:pStyle w:val="8"/>
        <w:numPr>
          <w:ilvl w:val="0"/>
          <w:numId w:val="4"/>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综合评价情况及评价结论（附相关评分表）</w:t>
      </w:r>
    </w:p>
    <w:p>
      <w:pPr>
        <w:pStyle w:val="8"/>
        <w:spacing w:line="240" w:lineRule="auto"/>
        <w:ind w:firstLine="560"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通过对垃圾覆盖和设施维修项目实施情况考核和评价，根据专项支出绩效评价指标完成情况综合评价，综合评分为90分，评价等级为优。</w:t>
      </w:r>
    </w:p>
    <w:p>
      <w:pPr>
        <w:pStyle w:val="5"/>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绩效评价结果应用建议</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560" w:firstLineChars="200"/>
        <w:jc w:val="both"/>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绩效评价结果已在县人民政府门户网站上公开，接受社会监督，同时将绩效评价结果与预算安排相结合，加大评价结果向社会公开的力度，提高资金使用效率。</w:t>
      </w:r>
    </w:p>
    <w:p>
      <w:pPr>
        <w:pStyle w:val="8"/>
        <w:numPr>
          <w:ilvl w:val="0"/>
          <w:numId w:val="4"/>
        </w:numPr>
        <w:spacing w:line="240" w:lineRule="auto"/>
        <w:ind w:left="0" w:leftChars="0"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主要经验及做法、存在的问题和建议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主要的经验是：项目支出实施先申报后支出，达到政府采购限额严格按照相关要求执行，原则上不新增项目支出，确因工作需要新增的项目支出，需明确资金来源后经局务会讨论再组织实施。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left"/>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存在的问题有：</w:t>
      </w:r>
      <w:r>
        <w:rPr>
          <w:rFonts w:hint="eastAsia" w:ascii="仿宋" w:hAnsi="仿宋" w:eastAsia="仿宋" w:cs="仿宋"/>
          <w:i w:val="0"/>
          <w:iCs w:val="0"/>
          <w:caps w:val="0"/>
          <w:color w:val="333333"/>
          <w:spacing w:val="0"/>
          <w:kern w:val="0"/>
          <w:sz w:val="28"/>
          <w:szCs w:val="28"/>
          <w:lang w:val="en-US" w:eastAsia="zh-CN" w:bidi="ar"/>
        </w:rPr>
        <w:t>1、</w:t>
      </w:r>
      <w:r>
        <w:rPr>
          <w:rFonts w:hint="eastAsia" w:ascii="仿宋" w:hAnsi="仿宋" w:eastAsia="仿宋" w:cs="仿宋"/>
          <w:i w:val="0"/>
          <w:iCs w:val="0"/>
          <w:caps w:val="0"/>
          <w:color w:val="333333"/>
          <w:spacing w:val="0"/>
          <w:kern w:val="0"/>
          <w:sz w:val="28"/>
          <w:szCs w:val="28"/>
          <w:lang w:val="zh-CN" w:eastAsia="zh-CN" w:bidi="ar"/>
        </w:rPr>
        <w:t>预算编制科学和合理性有待提升。提高预算编制能力，强化预算执行，缩小预算差距。2、强化项目申报和管理。城市管理很多急且任务重的工作，存在未列入项目预算但又急需执行的项目，由于项目申报流程需要及有资金缺口，影响项目执行。</w:t>
      </w:r>
    </w:p>
    <w:p>
      <w:pPr>
        <w:spacing w:line="240" w:lineRule="auto"/>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建议为：一是加强预算编制学习；二是保障城市管理项目经费。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七、其他需要说明的问题</w:t>
      </w:r>
    </w:p>
    <w:p>
      <w:pPr>
        <w:spacing w:line="240" w:lineRule="auto"/>
        <w:rPr>
          <w:rFonts w:hint="eastAsia" w:ascii="仿宋" w:hAnsi="仿宋" w:eastAsia="仿宋" w:cs="仿宋"/>
          <w:i w:val="0"/>
          <w:iCs w:val="0"/>
          <w:caps w:val="0"/>
          <w:color w:val="333333"/>
          <w:spacing w:val="0"/>
          <w:kern w:val="0"/>
          <w:sz w:val="28"/>
          <w:szCs w:val="28"/>
          <w:lang w:val="en-US" w:eastAsia="zh-CN" w:bidi="ar"/>
        </w:rPr>
      </w:pPr>
      <w:r>
        <w:rPr>
          <w:rFonts w:hint="eastAsia"/>
          <w:lang w:val="en-US" w:eastAsia="zh-CN"/>
        </w:rPr>
        <w:t xml:space="preserve">    </w:t>
      </w:r>
      <w:r>
        <w:rPr>
          <w:rFonts w:hint="eastAsia" w:ascii="仿宋" w:hAnsi="仿宋" w:eastAsia="仿宋" w:cs="仿宋"/>
          <w:i w:val="0"/>
          <w:iCs w:val="0"/>
          <w:caps w:val="0"/>
          <w:color w:val="333333"/>
          <w:spacing w:val="0"/>
          <w:kern w:val="0"/>
          <w:sz w:val="28"/>
          <w:szCs w:val="28"/>
          <w:lang w:val="en-US" w:eastAsia="zh-CN" w:bidi="ar"/>
        </w:rPr>
        <w:t xml:space="preserve"> 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426D8"/>
    <w:multiLevelType w:val="singleLevel"/>
    <w:tmpl w:val="805426D8"/>
    <w:lvl w:ilvl="0" w:tentative="0">
      <w:start w:val="2"/>
      <w:numFmt w:val="decimal"/>
      <w:suff w:val="nothing"/>
      <w:lvlText w:val="%1、"/>
      <w:lvlJc w:val="left"/>
      <w:pPr>
        <w:ind w:left="-10"/>
      </w:pPr>
    </w:lvl>
  </w:abstractNum>
  <w:abstractNum w:abstractNumId="1">
    <w:nsid w:val="BDFC94D5"/>
    <w:multiLevelType w:val="singleLevel"/>
    <w:tmpl w:val="BDFC94D5"/>
    <w:lvl w:ilvl="0" w:tentative="0">
      <w:start w:val="3"/>
      <w:numFmt w:val="decimal"/>
      <w:suff w:val="nothing"/>
      <w:lvlText w:val="%1、"/>
      <w:lvlJc w:val="left"/>
    </w:lvl>
  </w:abstractNum>
  <w:abstractNum w:abstractNumId="2">
    <w:nsid w:val="31AA125D"/>
    <w:multiLevelType w:val="multilevel"/>
    <w:tmpl w:val="31AA125D"/>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5459103"/>
    <w:multiLevelType w:val="singleLevel"/>
    <w:tmpl w:val="75459103"/>
    <w:lvl w:ilvl="0" w:tentative="0">
      <w:start w:val="4"/>
      <w:numFmt w:val="chineseCounting"/>
      <w:suff w:val="nothing"/>
      <w:lvlText w:val="%1、"/>
      <w:lvlJc w:val="left"/>
      <w:rPr>
        <w:rFonts w:hint="eastAsia"/>
      </w:rPr>
    </w:lvl>
  </w:abstractNum>
  <w:num w:numId="1">
    <w:abstractNumId w:val="1"/>
  </w:num>
  <w:num w:numId="2">
    <w:abstractNumId w:val="0"/>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ZjczODk5NTAxMTRlN2ZjMDU2ODg1MGVmMDNjZjkifQ=="/>
  </w:docVars>
  <w:rsids>
    <w:rsidRoot w:val="16D7776E"/>
    <w:rsid w:val="06DE37E7"/>
    <w:rsid w:val="134F6CC0"/>
    <w:rsid w:val="16D7776E"/>
    <w:rsid w:val="196D5027"/>
    <w:rsid w:val="5AD13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99"/>
    <w:pPr>
      <w:spacing w:after="120"/>
      <w:ind w:left="420" w:leftChars="200"/>
    </w:pPr>
  </w:style>
  <w:style w:type="paragraph" w:styleId="4">
    <w:name w:val="Body Text Indent 2"/>
    <w:basedOn w:val="1"/>
    <w:qFormat/>
    <w:uiPriority w:val="0"/>
    <w:pPr>
      <w:spacing w:line="480" w:lineRule="auto"/>
      <w:ind w:left="420" w:leftChars="200"/>
    </w:pPr>
    <w:rPr>
      <w:rFonts w:eastAsia="宋体"/>
      <w:sz w:val="24"/>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无间隔"/>
    <w:qFormat/>
    <w:uiPriority w:val="0"/>
    <w:pPr>
      <w:widowControl w:val="0"/>
      <w:jc w:val="both"/>
    </w:pPr>
    <w:rPr>
      <w:rFonts w:ascii="Calibri" w:hAnsi="Calibri" w:eastAsia="宋体" w:cs="Times New Roman"/>
      <w:kern w:val="2"/>
      <w:sz w:val="21"/>
      <w:szCs w:val="22"/>
      <w:lang w:val="en-US" w:eastAsia="zh-CN" w:bidi="ar-SA"/>
    </w:rPr>
  </w:style>
  <w:style w:type="paragraph" w:styleId="9">
    <w:name w:val="No Spacing"/>
    <w:basedOn w:val="1"/>
    <w:qFormat/>
    <w:uiPriority w:val="99"/>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2372</Words>
  <Characters>2440</Characters>
  <Lines>0</Lines>
  <Paragraphs>0</Paragraphs>
  <TotalTime>6</TotalTime>
  <ScaleCrop>false</ScaleCrop>
  <LinksUpToDate>false</LinksUpToDate>
  <CharactersWithSpaces>2452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2022-05-20T07:12:00Z</dcterms:created>
  <dc:creator>妖精的手指</dc:creator>
  <cp:lastModifiedBy>妖精的手指</cp:lastModifiedBy>
  <dcterms:modified xsi:type="dcterms:W3CDTF">2022-05-24T01:53:32Z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7E8B29339D9A4FEA825780EDCF01DC2A</vt:lpwstr>
  </property>
</Properties>
</file>